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28BCA" w14:textId="77777777" w:rsidR="007240CA" w:rsidRDefault="007240CA" w:rsidP="009E4764">
      <w:pPr>
        <w:spacing w:after="100" w:afterAutospacing="1" w:line="480" w:lineRule="auto"/>
        <w:rPr>
          <w:rFonts w:ascii="Times New Roman" w:eastAsia="Times New Roman" w:hAnsi="Times New Roman" w:cs="Times New Roman"/>
          <w:sz w:val="24"/>
          <w:szCs w:val="24"/>
        </w:rPr>
      </w:pPr>
    </w:p>
    <w:p w14:paraId="0F99C7F6" w14:textId="6C71E52E" w:rsidR="007240CA" w:rsidRPr="007240CA" w:rsidRDefault="002D21B7" w:rsidP="007240CA">
      <w:pPr>
        <w:spacing w:after="100" w:afterAutospacing="1" w:line="480" w:lineRule="auto"/>
        <w:jc w:val="center"/>
        <w:rPr>
          <w:rFonts w:ascii="Times New Roman" w:eastAsia="Times New Roman" w:hAnsi="Times New Roman" w:cs="Times New Roman"/>
          <w:b/>
          <w:sz w:val="24"/>
          <w:szCs w:val="24"/>
        </w:rPr>
      </w:pPr>
      <w:r w:rsidRPr="007240CA">
        <w:rPr>
          <w:rFonts w:ascii="Times New Roman" w:eastAsia="Times New Roman" w:hAnsi="Times New Roman" w:cs="Times New Roman"/>
          <w:b/>
          <w:sz w:val="24"/>
          <w:szCs w:val="24"/>
        </w:rPr>
        <w:t>#1 Kathy Iron Deficiency Anemia</w:t>
      </w:r>
    </w:p>
    <w:p w14:paraId="5FAEDBAB" w14:textId="77777777" w:rsidR="007240CA" w:rsidRDefault="007240CA" w:rsidP="007240CA">
      <w:pPr>
        <w:spacing w:after="100" w:afterAutospacing="1" w:line="480" w:lineRule="auto"/>
        <w:jc w:val="center"/>
        <w:rPr>
          <w:rFonts w:ascii="Times New Roman" w:eastAsia="Times New Roman" w:hAnsi="Times New Roman" w:cs="Times New Roman"/>
          <w:sz w:val="24"/>
          <w:szCs w:val="24"/>
        </w:rPr>
      </w:pPr>
    </w:p>
    <w:p w14:paraId="7B81157A" w14:textId="77777777" w:rsidR="009E4764" w:rsidRDefault="009E4764" w:rsidP="007240CA">
      <w:pPr>
        <w:spacing w:after="100" w:afterAutospacing="1" w:line="480" w:lineRule="auto"/>
        <w:jc w:val="center"/>
        <w:rPr>
          <w:rFonts w:ascii="Times New Roman" w:eastAsia="Times New Roman" w:hAnsi="Times New Roman" w:cs="Times New Roman"/>
          <w:sz w:val="24"/>
          <w:szCs w:val="24"/>
        </w:rPr>
      </w:pPr>
    </w:p>
    <w:p w14:paraId="2221D598" w14:textId="77777777" w:rsidR="009E4764" w:rsidRDefault="009E4764" w:rsidP="007240CA">
      <w:pPr>
        <w:spacing w:after="100" w:afterAutospacing="1" w:line="480" w:lineRule="auto"/>
        <w:jc w:val="center"/>
        <w:rPr>
          <w:rFonts w:ascii="Times New Roman" w:eastAsia="Times New Roman" w:hAnsi="Times New Roman" w:cs="Times New Roman"/>
          <w:sz w:val="24"/>
          <w:szCs w:val="24"/>
        </w:rPr>
      </w:pPr>
    </w:p>
    <w:p w14:paraId="522E2715" w14:textId="3D2D6F36" w:rsidR="007240CA" w:rsidRDefault="009E4764" w:rsidP="007240CA">
      <w:pPr>
        <w:spacing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11B6AB8C" w14:textId="73D11AA5" w:rsidR="007240CA" w:rsidRDefault="009E4764" w:rsidP="007240CA">
      <w:pPr>
        <w:spacing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2F254CB7" w14:textId="456C4881" w:rsidR="007240CA" w:rsidRDefault="009E4764" w:rsidP="007240CA">
      <w:pPr>
        <w:spacing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code</w:t>
      </w:r>
    </w:p>
    <w:p w14:paraId="3A32C18B" w14:textId="6688B831" w:rsidR="007240CA" w:rsidRDefault="009E4764" w:rsidP="007240CA">
      <w:pPr>
        <w:spacing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Instructor’s name</w:t>
      </w:r>
    </w:p>
    <w:p w14:paraId="0D91F8FD" w14:textId="2D24E565" w:rsidR="007240CA" w:rsidRDefault="009E4764" w:rsidP="007240CA">
      <w:pPr>
        <w:spacing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3761043E" w14:textId="77777777" w:rsidR="007240CA" w:rsidRDefault="007240CA">
      <w:pPr>
        <w:spacing w:line="480" w:lineRule="auto"/>
        <w:rPr>
          <w:rFonts w:ascii="Times New Roman" w:eastAsia="Times New Roman" w:hAnsi="Times New Roman" w:cs="Times New Roman"/>
          <w:sz w:val="24"/>
          <w:szCs w:val="24"/>
        </w:rPr>
      </w:pPr>
    </w:p>
    <w:p w14:paraId="1FEC827C" w14:textId="7B410971" w:rsidR="007240CA" w:rsidRDefault="002D21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01" w14:textId="4FB93802" w:rsidR="0050143B" w:rsidRPr="007240CA" w:rsidRDefault="002D21B7" w:rsidP="009E4764">
      <w:pPr>
        <w:pStyle w:val="NoSpacing"/>
        <w:ind w:firstLine="0"/>
        <w:jc w:val="center"/>
        <w:rPr>
          <w:b/>
        </w:rPr>
      </w:pPr>
      <w:r>
        <w:rPr>
          <w:b/>
        </w:rPr>
        <w:lastRenderedPageBreak/>
        <w:t># 1 Kathy Iron Deficiency An</w:t>
      </w:r>
      <w:r w:rsidR="00A63BC8" w:rsidRPr="007240CA">
        <w:rPr>
          <w:b/>
        </w:rPr>
        <w:t>emia</w:t>
      </w:r>
    </w:p>
    <w:p w14:paraId="00000002" w14:textId="1E2EE6B5" w:rsidR="0050143B" w:rsidRDefault="002D21B7" w:rsidP="007240CA">
      <w:pPr>
        <w:pStyle w:val="NoSpacing"/>
      </w:pPr>
      <w:r>
        <w:t>This case is of Kathy, a 12-year old female presenting with new</w:t>
      </w:r>
      <w:r w:rsidR="007240CA">
        <w:t>ly diagnosed iron deficiency an</w:t>
      </w:r>
      <w:r>
        <w:t xml:space="preserve">emia. The discussion provides information on management, including patient education aspects. </w:t>
      </w:r>
      <w:r w:rsidR="007240CA">
        <w:t>The predominant cause of an</w:t>
      </w:r>
      <w:r>
        <w:t>emia is iron deficiency.</w:t>
      </w:r>
    </w:p>
    <w:p w14:paraId="00000003" w14:textId="77777777" w:rsidR="0050143B" w:rsidRPr="007240CA" w:rsidRDefault="002D21B7" w:rsidP="009E4764">
      <w:pPr>
        <w:pStyle w:val="NoSpacing"/>
        <w:ind w:firstLine="0"/>
        <w:jc w:val="center"/>
        <w:rPr>
          <w:b/>
        </w:rPr>
      </w:pPr>
      <w:r w:rsidRPr="007240CA">
        <w:rPr>
          <w:b/>
        </w:rPr>
        <w:t>Dietary and Supplements Advice</w:t>
      </w:r>
    </w:p>
    <w:p w14:paraId="00000004" w14:textId="46E56739" w:rsidR="0050143B" w:rsidRDefault="002D21B7" w:rsidP="007240CA">
      <w:pPr>
        <w:pStyle w:val="NoSpacing"/>
        <w:rPr>
          <w:color w:val="333333"/>
        </w:rPr>
      </w:pPr>
      <w:r>
        <w:t>In a risk-benefit balance, Andrew M. and colleagues found that low-dose iron supplementation should be delivered through iron-fortified meals. Fortified flour, juice, and cereals are useful examples. Additionally, the client should be encour</w:t>
      </w:r>
      <w:r w:rsidR="007240CA">
        <w:t>aged to adopt an an</w:t>
      </w:r>
      <w:r>
        <w:t>emia diet plan rich in lea</w:t>
      </w:r>
      <w:r w:rsidR="007240CA">
        <w:t>fy vegetables, meat, and sea-foods</w:t>
      </w:r>
      <w:r>
        <w:t xml:space="preserve">. </w:t>
      </w:r>
      <w:r>
        <w:rPr>
          <w:color w:val="333333"/>
        </w:rPr>
        <w:t>(Prentice et al., 2016).The client also needs to understand and observe which foodstuffs favor and which ones inhibit iron absorption for optimal supplementation. The client might also benefit from multivitamin and micronutrient supplementation</w:t>
      </w:r>
      <w:r w:rsidR="009E4764">
        <w:rPr>
          <w:color w:val="333333"/>
        </w:rPr>
        <w:t xml:space="preserve"> </w:t>
      </w:r>
      <w:r w:rsidR="009E4764">
        <w:rPr>
          <w:color w:val="333333"/>
          <w:highlight w:val="white"/>
        </w:rPr>
        <w:t>(Da Silva Lopes et al., 2018</w:t>
      </w:r>
      <w:r w:rsidR="009E4764">
        <w:rPr>
          <w:color w:val="333333"/>
        </w:rPr>
        <w:t>)</w:t>
      </w:r>
      <w:r>
        <w:rPr>
          <w:color w:val="333333"/>
        </w:rPr>
        <w:t xml:space="preserve">. </w:t>
      </w:r>
    </w:p>
    <w:p w14:paraId="00000005" w14:textId="77777777" w:rsidR="0050143B" w:rsidRPr="007240CA" w:rsidRDefault="002D21B7" w:rsidP="009E4764">
      <w:pPr>
        <w:pStyle w:val="NoSpacing"/>
        <w:ind w:firstLine="0"/>
        <w:jc w:val="center"/>
        <w:rPr>
          <w:b/>
          <w:color w:val="333333"/>
        </w:rPr>
      </w:pPr>
      <w:r w:rsidRPr="007240CA">
        <w:rPr>
          <w:b/>
          <w:color w:val="333333"/>
        </w:rPr>
        <w:t>Anticipatory Guidance Information</w:t>
      </w:r>
    </w:p>
    <w:p w14:paraId="0B542D42" w14:textId="77777777" w:rsidR="009E4764" w:rsidRDefault="002D21B7" w:rsidP="009E4764">
      <w:pPr>
        <w:pStyle w:val="NoSpacing"/>
        <w:rPr>
          <w:color w:val="333333"/>
        </w:rPr>
      </w:pPr>
      <w:r>
        <w:rPr>
          <w:color w:val="333333"/>
        </w:rPr>
        <w:t>Anemia</w:t>
      </w:r>
      <w:r w:rsidR="00A63BC8">
        <w:rPr>
          <w:color w:val="333333"/>
        </w:rPr>
        <w:t xml:space="preserve"> in an adolescent female is mostly due to menstruation, which is sometimes abnormal. The girl and her parents should be advised on the need to seek gynecological consult</w:t>
      </w:r>
      <w:r w:rsidR="009E4764">
        <w:rPr>
          <w:color w:val="333333"/>
        </w:rPr>
        <w:t xml:space="preserve">ation for further intervention </w:t>
      </w:r>
      <w:r w:rsidR="00A63BC8">
        <w:rPr>
          <w:color w:val="333333"/>
        </w:rPr>
        <w:t>(</w:t>
      </w:r>
      <w:proofErr w:type="spellStart"/>
      <w:r w:rsidR="00A63BC8">
        <w:rPr>
          <w:color w:val="333333"/>
        </w:rPr>
        <w:t>Chaparro</w:t>
      </w:r>
      <w:proofErr w:type="spellEnd"/>
      <w:r w:rsidR="00A63BC8">
        <w:rPr>
          <w:color w:val="333333"/>
        </w:rPr>
        <w:t xml:space="preserve"> &amp; </w:t>
      </w:r>
      <w:proofErr w:type="spellStart"/>
      <w:r w:rsidR="00A63BC8">
        <w:rPr>
          <w:color w:val="333333"/>
        </w:rPr>
        <w:t>Suchdev</w:t>
      </w:r>
      <w:proofErr w:type="spellEnd"/>
      <w:r w:rsidR="00A63BC8">
        <w:rPr>
          <w:color w:val="333333"/>
        </w:rPr>
        <w:t xml:space="preserve">, 2019).The family should be informed on the elevated risk for infections, especially malaria, with iron supplements and other potential side effects, which may otherwise limit compliance. The family ought to be educated on the presence of other </w:t>
      </w:r>
      <w:r>
        <w:rPr>
          <w:color w:val="333333"/>
        </w:rPr>
        <w:t>comorbidities that accompany an</w:t>
      </w:r>
      <w:r w:rsidR="00A63BC8">
        <w:rPr>
          <w:color w:val="333333"/>
        </w:rPr>
        <w:t>emia and potential complications in untreated cases.</w:t>
      </w:r>
    </w:p>
    <w:p w14:paraId="00000009" w14:textId="3758EEA8" w:rsidR="0050143B" w:rsidRPr="009E4764" w:rsidRDefault="002D21B7" w:rsidP="009E4764">
      <w:pPr>
        <w:pStyle w:val="NoSpacing"/>
        <w:ind w:firstLine="0"/>
        <w:jc w:val="center"/>
        <w:rPr>
          <w:color w:val="333333"/>
        </w:rPr>
      </w:pPr>
      <w:r w:rsidRPr="007240CA">
        <w:rPr>
          <w:b/>
          <w:color w:val="333333"/>
        </w:rPr>
        <w:t>Treatment Guidelines</w:t>
      </w:r>
    </w:p>
    <w:p w14:paraId="0000000A" w14:textId="1843449A" w:rsidR="0050143B" w:rsidRDefault="002D21B7" w:rsidP="007240CA">
      <w:pPr>
        <w:pStyle w:val="NoSpacing"/>
      </w:pPr>
      <w:r>
        <w:lastRenderedPageBreak/>
        <w:t xml:space="preserve">More </w:t>
      </w:r>
      <w:r w:rsidRPr="007240CA">
        <w:t>investigations</w:t>
      </w:r>
      <w:r>
        <w:t>, including iron studies, complete blood count, fecal occult blood, gynecologic evaluation, are necessary. Additional management would involve tailoring therapy to the identified cause, such as correcting menstrual irregularities. ("Iron deficiency anemia (IDA): A review," 2016). Other patient-specific factors, intravenous or oral iron replacement therapy</w:t>
      </w:r>
      <w:r w:rsidR="007240CA">
        <w:t>, should be considered depending on the degree of anemia. Serial h</w:t>
      </w:r>
      <w:r>
        <w:t>emoglobin measurements and other iron markers should be taken.</w:t>
      </w:r>
    </w:p>
    <w:p w14:paraId="0000000B" w14:textId="77777777" w:rsidR="0050143B" w:rsidRDefault="002D21B7" w:rsidP="007240CA">
      <w:pPr>
        <w:pStyle w:val="NoSpacing"/>
        <w:rPr>
          <w:color w:val="333333"/>
        </w:rPr>
      </w:pPr>
      <w:r>
        <w:br w:type="page"/>
      </w:r>
    </w:p>
    <w:p w14:paraId="0000000C" w14:textId="77777777" w:rsidR="0050143B" w:rsidRPr="009E4764" w:rsidRDefault="002D21B7" w:rsidP="009E4764">
      <w:pPr>
        <w:pStyle w:val="NoSpacing"/>
        <w:ind w:firstLine="0"/>
        <w:jc w:val="center"/>
        <w:rPr>
          <w:b/>
        </w:rPr>
      </w:pPr>
      <w:r w:rsidRPr="009E4764">
        <w:rPr>
          <w:b/>
        </w:rPr>
        <w:lastRenderedPageBreak/>
        <w:t>References</w:t>
      </w:r>
    </w:p>
    <w:p w14:paraId="767E63C8" w14:textId="77777777" w:rsidR="009E4764" w:rsidRPr="007240CA" w:rsidRDefault="009E4764" w:rsidP="009E4764">
      <w:pPr>
        <w:pStyle w:val="NoSpacing"/>
        <w:spacing w:after="0"/>
        <w:ind w:left="720" w:hanging="720"/>
      </w:pPr>
      <w:proofErr w:type="spellStart"/>
      <w:proofErr w:type="gramStart"/>
      <w:r w:rsidRPr="007240CA">
        <w:t>Chaparro</w:t>
      </w:r>
      <w:proofErr w:type="spellEnd"/>
      <w:r w:rsidRPr="007240CA">
        <w:t>, C. M., &amp; Suchdev, P. S. (2019).</w:t>
      </w:r>
      <w:proofErr w:type="gramEnd"/>
      <w:r w:rsidRPr="007240CA">
        <w:t xml:space="preserve"> Anemia epidemiology, pathophysiology, and etiology in low‐ and middle‐income countries. Annals of the New York Academy of Sciences. </w:t>
      </w:r>
      <w:hyperlink r:id="rId7" w:history="1">
        <w:r w:rsidRPr="007240CA">
          <w:t>https://doi.org/10.1111/nyas.14092</w:t>
        </w:r>
      </w:hyperlink>
    </w:p>
    <w:p w14:paraId="69C6DE2C" w14:textId="77777777" w:rsidR="009E4764" w:rsidRPr="007240CA" w:rsidRDefault="009E4764" w:rsidP="009E4764">
      <w:pPr>
        <w:pStyle w:val="NoSpacing"/>
        <w:spacing w:after="0"/>
        <w:ind w:left="720" w:hanging="720"/>
      </w:pPr>
      <w:r w:rsidRPr="007240CA">
        <w:t xml:space="preserve">Da Silva Lopes, K., Takemoto, Y., Garcia-Casal, M. N., &amp; Ota, E. (2018). Nutrition-specific interventions for preventing and controlling anemia throughout the life cycle: An overview of systematic reviews. Cochrane Database of Systematic Reviews. </w:t>
      </w:r>
      <w:hyperlink r:id="rId8" w:history="1">
        <w:r w:rsidRPr="007240CA">
          <w:t>https://doi.org/10.1002/14651858.cd013092</w:t>
        </w:r>
      </w:hyperlink>
    </w:p>
    <w:p w14:paraId="0D463B31" w14:textId="77777777" w:rsidR="009E4764" w:rsidRPr="007240CA" w:rsidRDefault="009E4764" w:rsidP="009E4764">
      <w:pPr>
        <w:pStyle w:val="NoSpacing"/>
        <w:spacing w:after="0"/>
        <w:ind w:left="720" w:hanging="720"/>
      </w:pPr>
      <w:r w:rsidRPr="007240CA">
        <w:t xml:space="preserve">Iron deficiency anemia (IDA): A review. (2016). International Journal of Science and Research (IJSR), 5(4), 1999-2003. </w:t>
      </w:r>
      <w:hyperlink r:id="rId9" w:history="1">
        <w:r w:rsidRPr="007240CA">
          <w:t>https://do</w:t>
        </w:r>
        <w:bookmarkStart w:id="0" w:name="_GoBack"/>
        <w:bookmarkEnd w:id="0"/>
        <w:r w:rsidRPr="007240CA">
          <w:t>i.org/10.21275/v5i4.nov163083</w:t>
        </w:r>
      </w:hyperlink>
      <w:r>
        <w:t xml:space="preserve"> </w:t>
      </w:r>
    </w:p>
    <w:p w14:paraId="5A598E48" w14:textId="77777777" w:rsidR="009E4764" w:rsidRPr="007240CA" w:rsidRDefault="009E4764" w:rsidP="009E4764">
      <w:pPr>
        <w:pStyle w:val="NoSpacing"/>
        <w:spacing w:after="0"/>
        <w:ind w:left="720" w:hanging="720"/>
      </w:pPr>
      <w:r w:rsidRPr="007240CA">
        <w:t xml:space="preserve">Prentice, A. M., Mendoza, Y. A., Pereira, D., Cerami, C., Wegmuller, R., Constable, A., &amp; Spieldenner, J. (2016). Dietary strategies for improving iron status: Balancing safety and efficacy. Nutrition Reviews, 75(1), 49-60. </w:t>
      </w:r>
      <w:hyperlink r:id="rId10" w:history="1">
        <w:r w:rsidRPr="007240CA">
          <w:rPr>
            <w:rStyle w:val="Hyperlink"/>
          </w:rPr>
          <w:t>https://doi.org/10.1093/nutrit/nuw055</w:t>
        </w:r>
      </w:hyperlink>
    </w:p>
    <w:p w14:paraId="00000011" w14:textId="77777777" w:rsidR="0050143B" w:rsidRDefault="0050143B" w:rsidP="007240CA">
      <w:pPr>
        <w:pStyle w:val="NoSpacing"/>
        <w:ind w:left="720" w:hanging="720"/>
        <w:rPr>
          <w:rFonts w:ascii="Verdana" w:eastAsia="Verdana" w:hAnsi="Verdana" w:cs="Verdana"/>
          <w:color w:val="333333"/>
          <w:sz w:val="21"/>
          <w:szCs w:val="21"/>
        </w:rPr>
      </w:pPr>
    </w:p>
    <w:p w14:paraId="00000012" w14:textId="77777777" w:rsidR="0050143B" w:rsidRDefault="0050143B" w:rsidP="007240CA">
      <w:pPr>
        <w:pStyle w:val="NoSpacing"/>
        <w:rPr>
          <w:color w:val="333333"/>
        </w:rPr>
      </w:pPr>
    </w:p>
    <w:p w14:paraId="00000013" w14:textId="77777777" w:rsidR="0050143B" w:rsidRDefault="0050143B" w:rsidP="007240CA">
      <w:pPr>
        <w:pStyle w:val="NoSpacing"/>
        <w:rPr>
          <w:color w:val="333333"/>
        </w:rPr>
      </w:pPr>
    </w:p>
    <w:p w14:paraId="00000014" w14:textId="77777777" w:rsidR="0050143B" w:rsidRDefault="0050143B" w:rsidP="007240CA">
      <w:pPr>
        <w:pStyle w:val="NoSpacing"/>
        <w:rPr>
          <w:color w:val="333333"/>
        </w:rPr>
      </w:pPr>
    </w:p>
    <w:sectPr w:rsidR="0050143B" w:rsidSect="00647BD5">
      <w:headerReference w:type="default" r:id="rId11"/>
      <w:headerReference w:type="first" r:id="rId1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C9140" w14:textId="77777777" w:rsidR="00EA19B7" w:rsidRDefault="00EA19B7">
      <w:pPr>
        <w:spacing w:line="240" w:lineRule="auto"/>
      </w:pPr>
      <w:r>
        <w:separator/>
      </w:r>
    </w:p>
  </w:endnote>
  <w:endnote w:type="continuationSeparator" w:id="0">
    <w:p w14:paraId="200F6B36" w14:textId="77777777" w:rsidR="00EA19B7" w:rsidRDefault="00EA19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8C8E7" w14:textId="77777777" w:rsidR="00EA19B7" w:rsidRDefault="00EA19B7">
      <w:pPr>
        <w:spacing w:line="240" w:lineRule="auto"/>
      </w:pPr>
      <w:r>
        <w:separator/>
      </w:r>
    </w:p>
  </w:footnote>
  <w:footnote w:type="continuationSeparator" w:id="0">
    <w:p w14:paraId="605AB72F" w14:textId="77777777" w:rsidR="00EA19B7" w:rsidRDefault="00EA19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2491706"/>
      <w:docPartObj>
        <w:docPartGallery w:val="Page Numbers (Top of Page)"/>
        <w:docPartUnique/>
      </w:docPartObj>
    </w:sdtPr>
    <w:sdtEndPr>
      <w:rPr>
        <w:noProof/>
      </w:rPr>
    </w:sdtEndPr>
    <w:sdtContent>
      <w:p w14:paraId="394309BE" w14:textId="41B5B839" w:rsidR="00647BD5" w:rsidRDefault="00647BD5">
        <w:pPr>
          <w:pStyle w:val="Header"/>
          <w:jc w:val="right"/>
        </w:pPr>
        <w:r>
          <w:fldChar w:fldCharType="begin"/>
        </w:r>
        <w:r>
          <w:instrText xml:space="preserve"> PAGE   \* MERGEFORMAT </w:instrText>
        </w:r>
        <w:r>
          <w:fldChar w:fldCharType="separate"/>
        </w:r>
        <w:r w:rsidR="009E4764">
          <w:rPr>
            <w:noProof/>
          </w:rPr>
          <w:t>1</w:t>
        </w:r>
        <w:r>
          <w:rPr>
            <w:noProof/>
          </w:rPr>
          <w:fldChar w:fldCharType="end"/>
        </w:r>
      </w:p>
    </w:sdtContent>
  </w:sdt>
  <w:p w14:paraId="5950CFEC" w14:textId="77777777" w:rsidR="00647BD5" w:rsidRDefault="00647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F7A6A" w14:textId="78B05C95" w:rsidR="007240CA" w:rsidRDefault="002D21B7" w:rsidP="007240CA">
    <w:pPr>
      <w:pStyle w:val="NoSpacing"/>
      <w:ind w:firstLine="0"/>
    </w:pPr>
    <w:r>
      <w:t>Running head: Iron Deficiency Anemia</w:t>
    </w:r>
    <w:r>
      <w:tab/>
    </w:r>
    <w:r>
      <w:tab/>
    </w:r>
    <w:r>
      <w:tab/>
    </w:r>
    <w:r>
      <w:tab/>
    </w:r>
    <w:r>
      <w:tab/>
    </w:r>
    <w:r>
      <w:tab/>
    </w:r>
    <w:r>
      <w:tab/>
    </w:r>
    <w:sdt>
      <w:sdtPr>
        <w:id w:val="156891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7BD5">
          <w:rPr>
            <w:noProof/>
          </w:rPr>
          <w:t>1</w:t>
        </w:r>
        <w:r>
          <w:rPr>
            <w:noProof/>
          </w:rPr>
          <w:fldChar w:fldCharType="end"/>
        </w:r>
      </w:sdtContent>
    </w:sdt>
  </w:p>
  <w:p w14:paraId="2933B3ED" w14:textId="77777777" w:rsidR="007240CA" w:rsidRDefault="007240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43B"/>
    <w:rsid w:val="000E7769"/>
    <w:rsid w:val="002D21B7"/>
    <w:rsid w:val="0050143B"/>
    <w:rsid w:val="00647BD5"/>
    <w:rsid w:val="00650816"/>
    <w:rsid w:val="007240CA"/>
    <w:rsid w:val="009E4764"/>
    <w:rsid w:val="00A63BC8"/>
    <w:rsid w:val="00EA1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240CA"/>
    <w:pPr>
      <w:tabs>
        <w:tab w:val="center" w:pos="4680"/>
        <w:tab w:val="right" w:pos="9360"/>
      </w:tabs>
      <w:spacing w:line="240" w:lineRule="auto"/>
    </w:pPr>
  </w:style>
  <w:style w:type="character" w:customStyle="1" w:styleId="HeaderChar">
    <w:name w:val="Header Char"/>
    <w:basedOn w:val="DefaultParagraphFont"/>
    <w:link w:val="Header"/>
    <w:uiPriority w:val="99"/>
    <w:rsid w:val="007240CA"/>
  </w:style>
  <w:style w:type="paragraph" w:styleId="Footer">
    <w:name w:val="footer"/>
    <w:basedOn w:val="Normal"/>
    <w:link w:val="FooterChar"/>
    <w:uiPriority w:val="99"/>
    <w:unhideWhenUsed/>
    <w:rsid w:val="007240CA"/>
    <w:pPr>
      <w:tabs>
        <w:tab w:val="center" w:pos="4680"/>
        <w:tab w:val="right" w:pos="9360"/>
      </w:tabs>
      <w:spacing w:line="240" w:lineRule="auto"/>
    </w:pPr>
  </w:style>
  <w:style w:type="character" w:customStyle="1" w:styleId="FooterChar">
    <w:name w:val="Footer Char"/>
    <w:basedOn w:val="DefaultParagraphFont"/>
    <w:link w:val="Footer"/>
    <w:uiPriority w:val="99"/>
    <w:rsid w:val="007240CA"/>
  </w:style>
  <w:style w:type="paragraph" w:styleId="NoSpacing">
    <w:name w:val="No Spacing"/>
    <w:uiPriority w:val="1"/>
    <w:qFormat/>
    <w:rsid w:val="007240CA"/>
    <w:pPr>
      <w:spacing w:after="160" w:line="480" w:lineRule="auto"/>
      <w:ind w:firstLine="720"/>
    </w:pPr>
    <w:rPr>
      <w:rFonts w:ascii="Times New Roman" w:hAnsi="Times New Roman"/>
      <w:sz w:val="24"/>
    </w:rPr>
  </w:style>
  <w:style w:type="character" w:styleId="Hyperlink">
    <w:name w:val="Hyperlink"/>
    <w:basedOn w:val="DefaultParagraphFont"/>
    <w:uiPriority w:val="99"/>
    <w:unhideWhenUsed/>
    <w:rsid w:val="007240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240CA"/>
    <w:pPr>
      <w:tabs>
        <w:tab w:val="center" w:pos="4680"/>
        <w:tab w:val="right" w:pos="9360"/>
      </w:tabs>
      <w:spacing w:line="240" w:lineRule="auto"/>
    </w:pPr>
  </w:style>
  <w:style w:type="character" w:customStyle="1" w:styleId="HeaderChar">
    <w:name w:val="Header Char"/>
    <w:basedOn w:val="DefaultParagraphFont"/>
    <w:link w:val="Header"/>
    <w:uiPriority w:val="99"/>
    <w:rsid w:val="007240CA"/>
  </w:style>
  <w:style w:type="paragraph" w:styleId="Footer">
    <w:name w:val="footer"/>
    <w:basedOn w:val="Normal"/>
    <w:link w:val="FooterChar"/>
    <w:uiPriority w:val="99"/>
    <w:unhideWhenUsed/>
    <w:rsid w:val="007240CA"/>
    <w:pPr>
      <w:tabs>
        <w:tab w:val="center" w:pos="4680"/>
        <w:tab w:val="right" w:pos="9360"/>
      </w:tabs>
      <w:spacing w:line="240" w:lineRule="auto"/>
    </w:pPr>
  </w:style>
  <w:style w:type="character" w:customStyle="1" w:styleId="FooterChar">
    <w:name w:val="Footer Char"/>
    <w:basedOn w:val="DefaultParagraphFont"/>
    <w:link w:val="Footer"/>
    <w:uiPriority w:val="99"/>
    <w:rsid w:val="007240CA"/>
  </w:style>
  <w:style w:type="paragraph" w:styleId="NoSpacing">
    <w:name w:val="No Spacing"/>
    <w:uiPriority w:val="1"/>
    <w:qFormat/>
    <w:rsid w:val="007240CA"/>
    <w:pPr>
      <w:spacing w:after="160" w:line="480" w:lineRule="auto"/>
      <w:ind w:firstLine="720"/>
    </w:pPr>
    <w:rPr>
      <w:rFonts w:ascii="Times New Roman" w:hAnsi="Times New Roman"/>
      <w:sz w:val="24"/>
    </w:rPr>
  </w:style>
  <w:style w:type="character" w:styleId="Hyperlink">
    <w:name w:val="Hyperlink"/>
    <w:basedOn w:val="DefaultParagraphFont"/>
    <w:uiPriority w:val="99"/>
    <w:unhideWhenUsed/>
    <w:rsid w:val="007240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i.org/10.1002/14651858.cd0130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11/nyas.14092"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93/nutrit/nuw055" TargetMode="External"/><Relationship Id="rId4" Type="http://schemas.openxmlformats.org/officeDocument/2006/relationships/webSettings" Target="webSettings.xml"/><Relationship Id="rId9" Type="http://schemas.openxmlformats.org/officeDocument/2006/relationships/hyperlink" Target="https://doi.org/10.21275/v5i4.nov16308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490</Words>
  <Characters>2797</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2020-09-09T14:27:00Z</dcterms:created>
  <dcterms:modified xsi:type="dcterms:W3CDTF">2020-09-09T17:16:00Z</dcterms:modified>
</cp:coreProperties>
</file>